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D191">
      <w:pPr>
        <w:spacing w:line="560" w:lineRule="exact"/>
        <w:rPr>
          <w:rFonts w:hint="eastAsia" w:ascii="楷体" w:hAnsi="楷体" w:eastAsia="楷体"/>
          <w:sz w:val="32"/>
          <w:szCs w:val="32"/>
        </w:rPr>
      </w:pPr>
      <w:r>
        <w:rPr>
          <w:rFonts w:hint="eastAsia" w:ascii="黑体" w:hAnsi="黑体" w:eastAsia="黑体" w:cs="黑体"/>
          <w:sz w:val="32"/>
          <w:szCs w:val="32"/>
        </w:rPr>
        <w:t>附件1</w:t>
      </w:r>
    </w:p>
    <w:p w14:paraId="256FB68F">
      <w:pPr>
        <w:keepNext w:val="0"/>
        <w:keepLines w:val="0"/>
        <w:pageBreakBefore w:val="0"/>
        <w:widowControl/>
        <w:kinsoku/>
        <w:wordWrap/>
        <w:overflowPunct/>
        <w:topLinePunct w:val="0"/>
        <w:autoSpaceDE/>
        <w:autoSpaceDN/>
        <w:bidi w:val="0"/>
        <w:adjustRightInd/>
        <w:snapToGrid/>
        <w:spacing w:afterAutospacing="0" w:line="500" w:lineRule="exact"/>
        <w:jc w:val="center"/>
        <w:textAlignment w:val="auto"/>
        <w:rPr>
          <w:rFonts w:hint="eastAsia"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第四届上海市青少年生态文明素养</w:t>
      </w:r>
      <w:r>
        <w:rPr>
          <w:rFonts w:hint="eastAsia" w:ascii="方正小标宋简体" w:hAnsi="方正小标宋简体" w:eastAsia="方正小标宋简体" w:cs="方正小标宋简体"/>
          <w:sz w:val="38"/>
          <w:szCs w:val="38"/>
          <w:lang w:eastAsia="zh"/>
        </w:rPr>
        <w:t>交流</w:t>
      </w:r>
      <w:r>
        <w:rPr>
          <w:rFonts w:hint="eastAsia" w:ascii="方正小标宋简体" w:hAnsi="方正小标宋简体" w:eastAsia="方正小标宋简体" w:cs="方正小标宋简体"/>
          <w:sz w:val="38"/>
          <w:szCs w:val="38"/>
        </w:rPr>
        <w:t>活动</w:t>
      </w:r>
    </w:p>
    <w:p w14:paraId="420F505A">
      <w:pPr>
        <w:keepNext w:val="0"/>
        <w:keepLines w:val="0"/>
        <w:pageBreakBefore w:val="0"/>
        <w:widowControl/>
        <w:kinsoku/>
        <w:wordWrap/>
        <w:overflowPunct/>
        <w:topLinePunct w:val="0"/>
        <w:autoSpaceDE/>
        <w:autoSpaceDN/>
        <w:bidi w:val="0"/>
        <w:adjustRightInd/>
        <w:snapToGrid/>
        <w:spacing w:afterAutospacing="0" w:line="500" w:lineRule="exact"/>
        <w:jc w:val="center"/>
        <w:textAlignment w:val="auto"/>
        <w:rPr>
          <w:rFonts w:hint="eastAsia" w:ascii="方正小标宋简体" w:hAnsi="方正小标宋简体" w:eastAsia="方正小标宋简体" w:cs="方正小标宋简体"/>
          <w:b/>
          <w:bCs/>
          <w:sz w:val="38"/>
          <w:szCs w:val="38"/>
        </w:rPr>
      </w:pPr>
      <w:r>
        <w:rPr>
          <w:rFonts w:hint="eastAsia" w:ascii="方正小标宋简体" w:hAnsi="方正小标宋简体" w:eastAsia="方正小标宋简体" w:cs="方正小标宋简体"/>
          <w:sz w:val="38"/>
          <w:szCs w:val="38"/>
        </w:rPr>
        <w:t>主题参考</w:t>
      </w:r>
    </w:p>
    <w:p w14:paraId="5CB6B0AD">
      <w:pPr>
        <w:keepNext w:val="0"/>
        <w:keepLines w:val="0"/>
        <w:pageBreakBefore w:val="0"/>
        <w:widowControl/>
        <w:kinsoku/>
        <w:wordWrap/>
        <w:overflowPunct/>
        <w:topLinePunct w:val="0"/>
        <w:autoSpaceDE/>
        <w:autoSpaceDN/>
        <w:bidi w:val="0"/>
        <w:adjustRightInd/>
        <w:snapToGrid/>
        <w:spacing w:afterAutospacing="0" w:line="460" w:lineRule="exact"/>
        <w:textAlignment w:val="auto"/>
        <w:rPr>
          <w:rFonts w:hint="eastAsia" w:ascii="CESI黑体-GB2312" w:hAnsi="CESI黑体-GB2312" w:eastAsia="CESI黑体-GB2312" w:cs="CESI黑体-GB2312"/>
          <w:b w:val="0"/>
          <w:bCs w:val="0"/>
          <w:sz w:val="30"/>
          <w:szCs w:val="30"/>
        </w:rPr>
      </w:pPr>
      <w:r>
        <w:rPr>
          <w:rFonts w:hint="eastAsia" w:ascii="CESI黑体-GB2312" w:hAnsi="CESI黑体-GB2312" w:eastAsia="CESI黑体-GB2312" w:cs="CESI黑体-GB2312"/>
          <w:b w:val="0"/>
          <w:bCs w:val="0"/>
          <w:sz w:val="30"/>
          <w:szCs w:val="30"/>
        </w:rPr>
        <w:t>小学组</w:t>
      </w:r>
    </w:p>
    <w:p w14:paraId="0A2C4BEA">
      <w:pPr>
        <w:keepNext w:val="0"/>
        <w:keepLines w:val="0"/>
        <w:pageBreakBefore w:val="0"/>
        <w:widowControl/>
        <w:kinsoku/>
        <w:wordWrap/>
        <w:overflowPunct/>
        <w:topLinePunct w:val="0"/>
        <w:autoSpaceDE/>
        <w:autoSpaceDN/>
        <w:bidi w:val="0"/>
        <w:adjustRightInd/>
        <w:snapToGrid/>
        <w:spacing w:afterAutospacing="0" w:line="460" w:lineRule="exact"/>
        <w:textAlignment w:val="auto"/>
        <w:rPr>
          <w:rStyle w:val="7"/>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bCs/>
          <w:sz w:val="30"/>
          <w:szCs w:val="30"/>
        </w:rPr>
        <w:t>A1-绿色生活方式</w:t>
      </w:r>
    </w:p>
    <w:p w14:paraId="3A4D2F61">
      <w:pPr>
        <w:keepNext w:val="0"/>
        <w:keepLines w:val="0"/>
        <w:pageBreakBefore w:val="0"/>
        <w:widowControl/>
        <w:kinsoku/>
        <w:wordWrap/>
        <w:overflowPunct/>
        <w:topLinePunct w:val="0"/>
        <w:autoSpaceDE/>
        <w:autoSpaceDN/>
        <w:bidi w:val="0"/>
        <w:adjustRightInd/>
        <w:snapToGrid/>
        <w:spacing w:afterAutospacing="0" w:line="46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倡导绿色生活方式，需要紧密围绕日常生活中的衣食住行，聚焦于低碳出行方式、节约资源、循环利用等方面，让我们每一个人都成为绿色生活方式的倡导者,成为低碳理念的传播者,成为低碳生活方式的践行者,共同携起手来建设我们的绿色低碳新家园。</w:t>
      </w:r>
    </w:p>
    <w:p w14:paraId="434E0275">
      <w:pPr>
        <w:keepNext w:val="0"/>
        <w:keepLines w:val="0"/>
        <w:pageBreakBefore w:val="0"/>
        <w:widowControl/>
        <w:kinsoku/>
        <w:wordWrap/>
        <w:overflowPunct/>
        <w:topLinePunct w:val="0"/>
        <w:autoSpaceDE/>
        <w:autoSpaceDN/>
        <w:bidi w:val="0"/>
        <w:adjustRightInd/>
        <w:snapToGrid/>
        <w:spacing w:afterAutospacing="0" w:line="46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
        </w:rPr>
        <w:t>交流</w:t>
      </w:r>
      <w:r>
        <w:rPr>
          <w:rFonts w:hint="eastAsia" w:ascii="仿宋_GB2312" w:hAnsi="仿宋_GB2312" w:eastAsia="仿宋_GB2312" w:cs="仿宋_GB2312"/>
          <w:kern w:val="0"/>
          <w:sz w:val="30"/>
          <w:szCs w:val="30"/>
        </w:rPr>
        <w:t>方向：①绿色生活方式的实践与探索；②低碳出行的成效研究</w:t>
      </w:r>
    </w:p>
    <w:p w14:paraId="5BAD8E80">
      <w:pPr>
        <w:keepNext w:val="0"/>
        <w:keepLines w:val="0"/>
        <w:pageBreakBefore w:val="0"/>
        <w:widowControl/>
        <w:kinsoku/>
        <w:wordWrap/>
        <w:overflowPunct/>
        <w:topLinePunct w:val="0"/>
        <w:autoSpaceDE/>
        <w:autoSpaceDN/>
        <w:bidi w:val="0"/>
        <w:adjustRightInd/>
        <w:snapToGrid/>
        <w:spacing w:afterAutospacing="0" w:line="460" w:lineRule="exact"/>
        <w:textAlignment w:val="auto"/>
        <w:rPr>
          <w:rFonts w:hint="eastAsia" w:ascii="仿宋_GB2312" w:hAnsi="仿宋_GB2312" w:eastAsia="仿宋_GB2312" w:cs="仿宋_GB2312"/>
          <w:b/>
          <w:bCs/>
          <w:sz w:val="30"/>
          <w:szCs w:val="30"/>
        </w:rPr>
      </w:pPr>
      <w:bookmarkStart w:id="0" w:name="_Toc22154"/>
      <w:r>
        <w:rPr>
          <w:rFonts w:hint="eastAsia" w:ascii="仿宋_GB2312" w:hAnsi="仿宋_GB2312" w:eastAsia="仿宋_GB2312" w:cs="仿宋_GB2312"/>
          <w:b/>
          <w:bCs/>
          <w:sz w:val="30"/>
          <w:szCs w:val="30"/>
        </w:rPr>
        <w:t>A2-生物多样性</w:t>
      </w:r>
      <w:bookmarkEnd w:id="0"/>
    </w:p>
    <w:p w14:paraId="3D037A19">
      <w:pPr>
        <w:keepNext w:val="0"/>
        <w:keepLines w:val="0"/>
        <w:pageBreakBefore w:val="0"/>
        <w:widowControl/>
        <w:kinsoku/>
        <w:wordWrap/>
        <w:overflowPunct/>
        <w:topLinePunct w:val="0"/>
        <w:autoSpaceDE/>
        <w:autoSpaceDN/>
        <w:bidi w:val="0"/>
        <w:adjustRightInd/>
        <w:snapToGrid/>
        <w:spacing w:afterAutospacing="0" w:line="46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生物多样性是生物（动物、植物、微生物）与环境形成的生态复合体以及与此相关的各种生态过程的总和，包括生态系统、物种、基因三个层次。生物多样性为人类提供了丰富多样的生产生活必需品、健康安全的生态环境和独特别致的自然景观文化等，关系人类的福祉。探索保护生物多样性的理念、有效行动、合理方案，倡导共同推进人与自然和谐共生，共同构建人与自然生命共同体。</w:t>
      </w:r>
    </w:p>
    <w:p w14:paraId="5EC0A42B">
      <w:pPr>
        <w:keepNext w:val="0"/>
        <w:keepLines w:val="0"/>
        <w:pageBreakBefore w:val="0"/>
        <w:widowControl/>
        <w:kinsoku/>
        <w:wordWrap/>
        <w:overflowPunct/>
        <w:topLinePunct w:val="0"/>
        <w:autoSpaceDE/>
        <w:autoSpaceDN/>
        <w:bidi w:val="0"/>
        <w:adjustRightInd/>
        <w:snapToGrid/>
        <w:spacing w:afterAutospacing="0" w:line="46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
        </w:rPr>
        <w:t>交流</w:t>
      </w:r>
      <w:r>
        <w:rPr>
          <w:rFonts w:hint="eastAsia" w:ascii="仿宋_GB2312" w:hAnsi="仿宋_GB2312" w:eastAsia="仿宋_GB2312" w:cs="仿宋_GB2312"/>
          <w:kern w:val="0"/>
          <w:sz w:val="30"/>
          <w:szCs w:val="30"/>
        </w:rPr>
        <w:t>方向：①生物多样性的启发与探索；②探寻生物多样性的奥秘；③生物多样性的监测；④生态系统的修复</w:t>
      </w:r>
    </w:p>
    <w:p w14:paraId="16A7D32F">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CESI黑体-GB2312" w:hAnsi="CESI黑体-GB2312" w:eastAsia="CESI黑体-GB2312" w:cs="CESI黑体-GB2312"/>
          <w:b w:val="0"/>
          <w:bCs w:val="0"/>
          <w:sz w:val="30"/>
          <w:szCs w:val="30"/>
        </w:rPr>
      </w:pPr>
      <w:bookmarkStart w:id="1" w:name="_Toc6924"/>
      <w:r>
        <w:rPr>
          <w:rFonts w:hint="eastAsia" w:ascii="CESI黑体-GB2312" w:hAnsi="CESI黑体-GB2312" w:eastAsia="CESI黑体-GB2312" w:cs="CESI黑体-GB2312"/>
          <w:b w:val="0"/>
          <w:bCs w:val="0"/>
          <w:sz w:val="30"/>
          <w:szCs w:val="30"/>
        </w:rPr>
        <w:t>初中组</w:t>
      </w:r>
    </w:p>
    <w:p w14:paraId="4535B82A">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B1-无废校园（垃圾分类）</w:t>
      </w:r>
      <w:bookmarkEnd w:id="1"/>
    </w:p>
    <w:p w14:paraId="0EFF4B1F">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探索与思考如何在学校进行资源回收、废物减量、循环利用的实践，以增强学生的节约意识和环保意识，探索具有科技性和创新性的新思路、新方式，通过“无废校园”，倡导</w:t>
      </w:r>
      <w:r>
        <w:rPr>
          <w:rFonts w:hint="eastAsia" w:ascii="仿宋_GB2312" w:hAnsi="仿宋_GB2312" w:eastAsia="仿宋_GB2312" w:cs="仿宋_GB2312"/>
          <w:kern w:val="0"/>
          <w:sz w:val="30"/>
          <w:szCs w:val="30"/>
          <w:lang w:eastAsia="zh"/>
        </w:rPr>
        <w:t>“</w:t>
      </w:r>
      <w:r>
        <w:rPr>
          <w:rFonts w:hint="eastAsia" w:ascii="仿宋_GB2312" w:hAnsi="仿宋_GB2312" w:eastAsia="仿宋_GB2312" w:cs="仿宋_GB2312"/>
          <w:kern w:val="0"/>
          <w:sz w:val="30"/>
          <w:szCs w:val="30"/>
        </w:rPr>
        <w:t>无废理念</w:t>
      </w:r>
      <w:r>
        <w:rPr>
          <w:rFonts w:hint="eastAsia" w:ascii="仿宋_GB2312" w:hAnsi="仿宋_GB2312" w:eastAsia="仿宋_GB2312" w:cs="仿宋_GB2312"/>
          <w:kern w:val="0"/>
          <w:sz w:val="30"/>
          <w:szCs w:val="30"/>
          <w:lang w:eastAsia="zh"/>
        </w:rPr>
        <w:t>”</w:t>
      </w:r>
      <w:r>
        <w:rPr>
          <w:rFonts w:hint="eastAsia" w:ascii="仿宋_GB2312" w:hAnsi="仿宋_GB2312" w:eastAsia="仿宋_GB2312" w:cs="仿宋_GB2312"/>
          <w:kern w:val="0"/>
          <w:sz w:val="30"/>
          <w:szCs w:val="30"/>
        </w:rPr>
        <w:t>，践行绿色生活，让校园成为全社会搭建“无废城市”建设的桥梁。</w:t>
      </w:r>
    </w:p>
    <w:p w14:paraId="4A7FB52E">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
        </w:rPr>
        <w:t>交流</w:t>
      </w:r>
      <w:r>
        <w:rPr>
          <w:rFonts w:hint="eastAsia" w:ascii="仿宋_GB2312" w:hAnsi="仿宋_GB2312" w:eastAsia="仿宋_GB2312" w:cs="仿宋_GB2312"/>
          <w:kern w:val="0"/>
          <w:sz w:val="30"/>
          <w:szCs w:val="30"/>
        </w:rPr>
        <w:t>方向：①探究无废校园创建的有效途径；②无废校园的实践与探索</w:t>
      </w:r>
    </w:p>
    <w:p w14:paraId="3DCAE794">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b/>
          <w:bCs/>
          <w:sz w:val="30"/>
          <w:szCs w:val="30"/>
        </w:rPr>
      </w:pPr>
      <w:bookmarkStart w:id="2" w:name="_Toc9218"/>
      <w:r>
        <w:rPr>
          <w:rFonts w:hint="eastAsia" w:ascii="仿宋_GB2312" w:hAnsi="仿宋_GB2312" w:eastAsia="仿宋_GB2312" w:cs="仿宋_GB2312"/>
          <w:b/>
          <w:bCs/>
          <w:sz w:val="30"/>
          <w:szCs w:val="30"/>
        </w:rPr>
        <w:t>B2-水资源保护</w:t>
      </w:r>
      <w:bookmarkEnd w:id="2"/>
    </w:p>
    <w:p w14:paraId="5118EC72">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水是万物之源，是人类社会诞生、发展乃至未来永续发展的唯一不可替代的自然资源和共同利益。每个人、每个组织、每个企业、每个国家都应在其能力范围内努力做到节约用水、合理开发和高效利用水资源。所以，需要探索高效利用、有效保护水资源方法和途径，促进人与自然和谐共生。</w:t>
      </w:r>
    </w:p>
    <w:p w14:paraId="03073A72">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
        </w:rPr>
        <w:t>交流</w:t>
      </w:r>
      <w:r>
        <w:rPr>
          <w:rFonts w:hint="eastAsia" w:ascii="仿宋_GB2312" w:hAnsi="仿宋_GB2312" w:eastAsia="仿宋_GB2312" w:cs="仿宋_GB2312"/>
          <w:kern w:val="0"/>
          <w:sz w:val="30"/>
          <w:szCs w:val="30"/>
        </w:rPr>
        <w:t>方向：①水资源保护的未来之路；②水资源的利用、开发和保护</w:t>
      </w:r>
    </w:p>
    <w:p w14:paraId="602F96E1">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CESI黑体-GB2312" w:hAnsi="CESI黑体-GB2312" w:eastAsia="CESI黑体-GB2312" w:cs="CESI黑体-GB2312"/>
          <w:b w:val="0"/>
          <w:bCs w:val="0"/>
          <w:sz w:val="30"/>
          <w:szCs w:val="30"/>
        </w:rPr>
      </w:pPr>
      <w:bookmarkStart w:id="3" w:name="_Toc10074"/>
      <w:r>
        <w:rPr>
          <w:rFonts w:hint="eastAsia" w:ascii="CESI黑体-GB2312" w:hAnsi="CESI黑体-GB2312" w:eastAsia="CESI黑体-GB2312" w:cs="CESI黑体-GB2312"/>
          <w:b w:val="0"/>
          <w:bCs w:val="0"/>
          <w:sz w:val="30"/>
          <w:szCs w:val="30"/>
        </w:rPr>
        <w:t>高中组</w:t>
      </w:r>
    </w:p>
    <w:p w14:paraId="7DC33903">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C1-爱粮节粮</w:t>
      </w:r>
      <w:bookmarkEnd w:id="3"/>
    </w:p>
    <w:p w14:paraId="6D35BC7E">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全社会牢固树立粮食安全意识的同时，需要从爱粮节粮的角度创新理念和技术方法，做好粮食损失和食品浪费情况调查评估，在食品生产、运输、贮藏、加工、包装、处理、回收、安全管理等环节寻求突破点，开发及应用绿色技术，探索餐饮节约管理的长效机制与手段，与提质增效融合促进、与营养健康协同发展、与产业升级同步推进，探索粮食和食物节约长效机制，加力解决粮食损失和食品浪费问题，推动节约粮食、反对浪费在全社会蔚然成风。</w:t>
      </w:r>
    </w:p>
    <w:p w14:paraId="04B0A9B7">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
        </w:rPr>
        <w:t>交流</w:t>
      </w:r>
      <w:r>
        <w:rPr>
          <w:rFonts w:hint="eastAsia" w:ascii="仿宋_GB2312" w:hAnsi="仿宋_GB2312" w:eastAsia="仿宋_GB2312" w:cs="仿宋_GB2312"/>
          <w:sz w:val="30"/>
          <w:szCs w:val="30"/>
        </w:rPr>
        <w:t>方向：①粮食损失和食品浪费情况调查评估；②餐饮节约管理的长效机制与手段的探索；③食品绿色技术的开发及应用</w:t>
      </w:r>
    </w:p>
    <w:p w14:paraId="2F9DDF07">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b/>
          <w:bCs/>
          <w:sz w:val="30"/>
          <w:szCs w:val="30"/>
        </w:rPr>
      </w:pPr>
      <w:bookmarkStart w:id="4" w:name="_Toc7572"/>
      <w:r>
        <w:rPr>
          <w:rFonts w:hint="eastAsia" w:ascii="仿宋_GB2312" w:hAnsi="仿宋_GB2312" w:eastAsia="仿宋_GB2312" w:cs="仿宋_GB2312"/>
          <w:b/>
          <w:bCs/>
          <w:sz w:val="30"/>
          <w:szCs w:val="30"/>
        </w:rPr>
        <w:t>C2-ESG（环境、社会和公司治理）</w:t>
      </w:r>
      <w:bookmarkEnd w:id="4"/>
    </w:p>
    <w:p w14:paraId="4248EA5A">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探索“双碳”视角下的ESG（环境、社会和公司治理）体系建设，从环境、社会和公司治理三个维度评估企业经营的可持续性与对社会价值观念的影响。强调提升ESG治理水平，思考企业要履行社会责任与治理任务，干预企业在经营和生产过程中对生态环境造成的影响。</w:t>
      </w:r>
    </w:p>
    <w:p w14:paraId="1FC31701">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
        </w:rPr>
        <w:t>交流</w:t>
      </w:r>
      <w:r>
        <w:rPr>
          <w:rFonts w:hint="eastAsia" w:ascii="仿宋_GB2312" w:hAnsi="仿宋_GB2312" w:eastAsia="仿宋_GB2312" w:cs="仿宋_GB2312"/>
          <w:kern w:val="0"/>
          <w:sz w:val="30"/>
          <w:szCs w:val="30"/>
        </w:rPr>
        <w:t>方向：探索“双碳”视角下的ESG体系建设</w:t>
      </w:r>
    </w:p>
    <w:p w14:paraId="56AF2FE7">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CESI黑体-GB2312" w:hAnsi="CESI黑体-GB2312" w:eastAsia="CESI黑体-GB2312" w:cs="CESI黑体-GB2312"/>
          <w:b w:val="0"/>
          <w:bCs w:val="0"/>
          <w:sz w:val="30"/>
          <w:szCs w:val="30"/>
        </w:rPr>
      </w:pPr>
      <w:bookmarkStart w:id="5" w:name="_Toc26961"/>
      <w:r>
        <w:rPr>
          <w:rFonts w:hint="eastAsia" w:ascii="CESI黑体-GB2312" w:hAnsi="CESI黑体-GB2312" w:eastAsia="CESI黑体-GB2312" w:cs="CESI黑体-GB2312"/>
          <w:b w:val="0"/>
          <w:bCs w:val="0"/>
          <w:sz w:val="30"/>
          <w:szCs w:val="30"/>
        </w:rPr>
        <w:t>高校组</w:t>
      </w:r>
    </w:p>
    <w:p w14:paraId="5F7CAC31">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D1-</w:t>
      </w:r>
      <w:bookmarkEnd w:id="5"/>
      <w:r>
        <w:rPr>
          <w:rFonts w:hint="eastAsia" w:ascii="仿宋_GB2312" w:hAnsi="仿宋_GB2312" w:eastAsia="仿宋_GB2312" w:cs="仿宋_GB2312"/>
          <w:b/>
          <w:bCs/>
          <w:sz w:val="30"/>
          <w:szCs w:val="30"/>
        </w:rPr>
        <w:t>可再生能源和新能源</w:t>
      </w:r>
    </w:p>
    <w:p w14:paraId="2096F8EF">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探索绿色技术发展与应用，主要包含太阳能、风电、核电、地热、燃煤、储能、电网、绿氢等方面的源头减碳类绿色技术，农业、工业、建筑、交通、减污降碳协同等方面的过程降碳类绿色技术，以及二氧化碳捕集利用与封存技术、二氧化碳先进高效捕集示范、二氧化碳资源化利用及固碳示范等方面的末端固碳类绿色技术。通过绿色技术，建设清洁低碳、安全高效的能源体系，提高能源供给保障能力。</w:t>
      </w:r>
    </w:p>
    <w:p w14:paraId="7EC7CB45">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
        </w:rPr>
        <w:t>交流</w:t>
      </w:r>
      <w:r>
        <w:rPr>
          <w:rFonts w:hint="eastAsia" w:ascii="仿宋_GB2312" w:hAnsi="仿宋_GB2312" w:eastAsia="仿宋_GB2312" w:cs="仿宋_GB2312"/>
          <w:kern w:val="0"/>
          <w:sz w:val="30"/>
          <w:szCs w:val="30"/>
        </w:rPr>
        <w:t>方向：①可再生能源和新能源现状探究与发展思考；②可再生能源和新能源开发与利用</w:t>
      </w:r>
    </w:p>
    <w:p w14:paraId="073C4034">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b/>
          <w:bCs/>
          <w:sz w:val="30"/>
          <w:szCs w:val="30"/>
        </w:rPr>
      </w:pPr>
      <w:bookmarkStart w:id="6" w:name="_Toc11595"/>
      <w:r>
        <w:rPr>
          <w:rFonts w:hint="eastAsia" w:ascii="仿宋_GB2312" w:hAnsi="仿宋_GB2312" w:eastAsia="仿宋_GB2312" w:cs="仿宋_GB2312"/>
          <w:b/>
          <w:bCs/>
          <w:sz w:val="30"/>
          <w:szCs w:val="30"/>
        </w:rPr>
        <w:t>D2-碳排放管理</w:t>
      </w:r>
      <w:bookmarkEnd w:id="6"/>
    </w:p>
    <w:p w14:paraId="196F557D">
      <w:pPr>
        <w:keepNext w:val="0"/>
        <w:keepLines w:val="0"/>
        <w:pageBreakBefore w:val="0"/>
        <w:widowControl/>
        <w:kinsoku/>
        <w:wordWrap/>
        <w:overflowPunct/>
        <w:topLinePunct w:val="0"/>
        <w:autoSpaceDE/>
        <w:autoSpaceDN/>
        <w:bidi w:val="0"/>
        <w:adjustRightInd/>
        <w:snapToGrid/>
        <w:spacing w:afterAutospacing="0" w:line="44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围绕“双碳”主题，探索碳管理，健全碳排放、碳捕捉、碳普惠的监测、量化、管理等措施,构建可持续发展的低碳未来。碳排放控制是做好“双碳”工作的重要基础，需要多途径强化能源管理，多途径优化碳排放资源配置，规范有序控制碳排放。碳捕捉是将工业生产或能源生产过程中产生的二氧化碳（CO2）分离、收集，并加以利用或封存，以减少其排放到大气中的量，可实现从源头减少碳排放。碳普惠是为了鼓励公众的节能减碳行为而建立的正向引导机制，能够记录和量化公众的低碳行为，通过商业、交易市场和政策等方式来引导和激励公众形成低碳生产生活方式。从碳排放、碳捕捉、碳普惠角度健全碳足迹核算体系，为各类减污降碳规范、标准等提供数据支撑和科学依据，以社会良性互动提升公众参与积极性，助力多领域高质量发展。</w:t>
      </w:r>
    </w:p>
    <w:p w14:paraId="11A71979">
      <w:pPr>
        <w:keepNext w:val="0"/>
        <w:keepLines w:val="0"/>
        <w:pageBreakBefore w:val="0"/>
        <w:widowControl/>
        <w:kinsoku/>
        <w:wordWrap/>
        <w:overflowPunct/>
        <w:topLinePunct w:val="0"/>
        <w:autoSpaceDE/>
        <w:autoSpaceDN/>
        <w:bidi w:val="0"/>
        <w:adjustRightInd/>
        <w:snapToGrid/>
        <w:spacing w:afterAutospacing="0" w:line="440" w:lineRule="exact"/>
        <w:textAlignment w:val="auto"/>
        <w:rPr>
          <w:rFonts w:hint="eastAsia" w:ascii="仿宋_GB2312" w:hAnsi="仿宋_GB2312" w:eastAsia="仿宋_GB2312" w:cs="仿宋_GB2312"/>
          <w:kern w:val="0"/>
          <w:sz w:val="30"/>
          <w:szCs w:val="30"/>
        </w:rPr>
        <w:sectPr>
          <w:footerReference r:id="rId3" w:type="default"/>
          <w:footerReference r:id="rId4" w:type="even"/>
          <w:pgSz w:w="11906" w:h="16838"/>
          <w:pgMar w:top="2098" w:right="1508" w:bottom="2098" w:left="1520" w:header="851" w:footer="1814" w:gutter="57"/>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eastAsia="zh"/>
        </w:rPr>
        <w:t>交流</w:t>
      </w:r>
      <w:r>
        <w:rPr>
          <w:rFonts w:hint="eastAsia" w:ascii="仿宋_GB2312" w:hAnsi="仿宋_GB2312" w:eastAsia="仿宋_GB2312" w:cs="仿宋_GB2312"/>
          <w:kern w:val="0"/>
          <w:sz w:val="30"/>
          <w:szCs w:val="30"/>
        </w:rPr>
        <w:t>方向：①碳排放管理技术创新；②碳排放权交易研究；③碳排放管理公众参与研究</w:t>
      </w:r>
    </w:p>
    <w:p w14:paraId="1CB12C62">
      <w:pPr>
        <w:spacing w:line="560" w:lineRule="exact"/>
        <w:jc w:val="both"/>
        <w:rPr>
          <w:sz w:val="28"/>
          <w:szCs w:val="28"/>
        </w:rPr>
      </w:pPr>
      <w:bookmarkStart w:id="7" w:name="_GoBack"/>
      <w:bookmarkEnd w:id="7"/>
    </w:p>
    <w:sectPr>
      <w:footerReference r:id="rId5" w:type="default"/>
      <w:footerReference r:id="rId6" w:type="even"/>
      <w:pgSz w:w="11906" w:h="16838"/>
      <w:pgMar w:top="2098" w:right="1508" w:bottom="2098" w:left="1520" w:header="851" w:footer="1814" w:gutter="57"/>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5C22">
    <w:pPr>
      <w:pStyle w:val="2"/>
      <w:framePr w:wrap="around" w:vAnchor="text" w:hAnchor="margin" w:xAlign="outside" w:y="1"/>
      <w:rPr>
        <w:rStyle w:val="8"/>
        <w:rFonts w:hint="eastAsia" w:ascii="宋体" w:hAnsi="宋体"/>
        <w:sz w:val="28"/>
      </w:rPr>
    </w:pPr>
    <w:r>
      <w:rPr>
        <w:rStyle w:val="8"/>
        <w:rFonts w:hint="eastAsia" w:ascii="宋体" w:hAnsi="宋体"/>
        <w:sz w:val="28"/>
      </w:rPr>
      <w:t xml:space="preserve">—  </w:t>
    </w:r>
    <w:r>
      <w:rPr>
        <w:rStyle w:val="8"/>
        <w:rFonts w:ascii="宋体" w:hAnsi="宋体"/>
        <w:sz w:val="28"/>
      </w:rPr>
      <w:fldChar w:fldCharType="begin"/>
    </w:r>
    <w:r>
      <w:rPr>
        <w:rStyle w:val="8"/>
        <w:rFonts w:ascii="宋体" w:hAnsi="宋体"/>
        <w:sz w:val="28"/>
      </w:rPr>
      <w:instrText xml:space="preserve">PAGE  </w:instrText>
    </w:r>
    <w:r>
      <w:rPr>
        <w:rStyle w:val="8"/>
        <w:rFonts w:ascii="宋体" w:hAnsi="宋体"/>
        <w:sz w:val="28"/>
      </w:rPr>
      <w:fldChar w:fldCharType="separate"/>
    </w:r>
    <w:r>
      <w:rPr>
        <w:rStyle w:val="8"/>
        <w:rFonts w:ascii="宋体" w:hAnsi="宋体"/>
        <w:sz w:val="28"/>
      </w:rPr>
      <w:t>1</w:t>
    </w:r>
    <w:r>
      <w:rPr>
        <w:rStyle w:val="8"/>
        <w:rFonts w:ascii="宋体" w:hAnsi="宋体"/>
        <w:sz w:val="28"/>
      </w:rPr>
      <w:fldChar w:fldCharType="end"/>
    </w:r>
    <w:r>
      <w:rPr>
        <w:rStyle w:val="8"/>
        <w:rFonts w:hint="eastAsia" w:ascii="宋体" w:hAnsi="宋体"/>
        <w:sz w:val="28"/>
      </w:rPr>
      <w:t xml:space="preserve">  —</w:t>
    </w:r>
  </w:p>
  <w:p w14:paraId="1FE1973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C48F">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740EECC0">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5AF">
    <w:pPr>
      <w:pStyle w:val="2"/>
      <w:framePr w:wrap="around" w:vAnchor="text" w:hAnchor="margin" w:xAlign="outside" w:y="1"/>
      <w:ind w:left="420" w:leftChars="200" w:right="420" w:rightChars="200"/>
      <w:rPr>
        <w:rStyle w:val="8"/>
        <w:rFonts w:ascii="宋体" w:hAnsi="宋体"/>
        <w:sz w:val="28"/>
      </w:rPr>
    </w:pPr>
    <w:r>
      <w:rPr>
        <w:rStyle w:val="8"/>
        <w:rFonts w:hint="eastAsia" w:ascii="宋体" w:hAnsi="宋体"/>
        <w:sz w:val="28"/>
      </w:rPr>
      <w:t xml:space="preserve">—  </w:t>
    </w:r>
    <w:r>
      <w:rPr>
        <w:rStyle w:val="8"/>
        <w:rFonts w:ascii="宋体" w:hAnsi="宋体"/>
        <w:sz w:val="28"/>
      </w:rPr>
      <w:fldChar w:fldCharType="begin"/>
    </w:r>
    <w:r>
      <w:rPr>
        <w:rStyle w:val="8"/>
        <w:rFonts w:ascii="宋体" w:hAnsi="宋体"/>
        <w:sz w:val="28"/>
      </w:rPr>
      <w:instrText xml:space="preserve">PAGE  </w:instrText>
    </w:r>
    <w:r>
      <w:rPr>
        <w:rStyle w:val="8"/>
        <w:rFonts w:ascii="宋体" w:hAnsi="宋体"/>
        <w:sz w:val="28"/>
      </w:rPr>
      <w:fldChar w:fldCharType="separate"/>
    </w:r>
    <w:r>
      <w:rPr>
        <w:rStyle w:val="8"/>
        <w:rFonts w:ascii="宋体" w:hAnsi="宋体"/>
        <w:sz w:val="28"/>
      </w:rPr>
      <w:t>1</w:t>
    </w:r>
    <w:r>
      <w:rPr>
        <w:rStyle w:val="8"/>
        <w:rFonts w:ascii="宋体" w:hAnsi="宋体"/>
        <w:sz w:val="28"/>
      </w:rPr>
      <w:fldChar w:fldCharType="end"/>
    </w:r>
    <w:r>
      <w:rPr>
        <w:rStyle w:val="8"/>
        <w:rFonts w:hint="eastAsia" w:ascii="宋体" w:hAnsi="宋体"/>
        <w:sz w:val="28"/>
      </w:rPr>
      <w:t xml:space="preserve">  —</w:t>
    </w:r>
  </w:p>
  <w:p w14:paraId="1B8EC6D3">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A4DB">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31EAE6A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F5CDF"/>
    <w:rsid w:val="000536AB"/>
    <w:rsid w:val="0007124C"/>
    <w:rsid w:val="001D0A52"/>
    <w:rsid w:val="00324D46"/>
    <w:rsid w:val="003619EF"/>
    <w:rsid w:val="003A17CC"/>
    <w:rsid w:val="003B426C"/>
    <w:rsid w:val="003D499D"/>
    <w:rsid w:val="003E51D9"/>
    <w:rsid w:val="00403442"/>
    <w:rsid w:val="004615F6"/>
    <w:rsid w:val="00492EF2"/>
    <w:rsid w:val="00494616"/>
    <w:rsid w:val="004C6916"/>
    <w:rsid w:val="00520166"/>
    <w:rsid w:val="00586AE0"/>
    <w:rsid w:val="00592D2D"/>
    <w:rsid w:val="00597F85"/>
    <w:rsid w:val="00634633"/>
    <w:rsid w:val="00667D7B"/>
    <w:rsid w:val="006A494C"/>
    <w:rsid w:val="00737947"/>
    <w:rsid w:val="007E4CE6"/>
    <w:rsid w:val="007F363D"/>
    <w:rsid w:val="007F6980"/>
    <w:rsid w:val="00842D7B"/>
    <w:rsid w:val="00880E1D"/>
    <w:rsid w:val="009033AE"/>
    <w:rsid w:val="0098148B"/>
    <w:rsid w:val="00995D9A"/>
    <w:rsid w:val="00A33F79"/>
    <w:rsid w:val="00A504DD"/>
    <w:rsid w:val="00A917DD"/>
    <w:rsid w:val="00B011DB"/>
    <w:rsid w:val="00B04D10"/>
    <w:rsid w:val="00B503D6"/>
    <w:rsid w:val="00C16335"/>
    <w:rsid w:val="00C35B63"/>
    <w:rsid w:val="00C91E1C"/>
    <w:rsid w:val="00CD2E12"/>
    <w:rsid w:val="00CD6C31"/>
    <w:rsid w:val="00D03CB3"/>
    <w:rsid w:val="00D45D5D"/>
    <w:rsid w:val="00E90808"/>
    <w:rsid w:val="00F95245"/>
    <w:rsid w:val="00FE75B7"/>
    <w:rsid w:val="00FF7AA1"/>
    <w:rsid w:val="3F9F5CDF"/>
    <w:rsid w:val="41581A51"/>
    <w:rsid w:val="47A36476"/>
    <w:rsid w:val="4A0D3F70"/>
    <w:rsid w:val="641C7998"/>
    <w:rsid w:val="72CC6C65"/>
    <w:rsid w:val="7AAD1F1E"/>
    <w:rsid w:val="7FB6FDAA"/>
    <w:rsid w:val="7FDB4C1E"/>
    <w:rsid w:val="A9D2673A"/>
    <w:rsid w:val="C8AD2BBB"/>
    <w:rsid w:val="FBF7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jw3218\Desktop\Templates2025\&#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联合发文（五部门）.dotx</Template>
  <Pages>4</Pages>
  <Words>1742</Words>
  <Characters>1769</Characters>
  <Lines>1</Lines>
  <Paragraphs>1</Paragraphs>
  <TotalTime>22</TotalTime>
  <ScaleCrop>false</ScaleCrop>
  <LinksUpToDate>false</LinksUpToDate>
  <CharactersWithSpaces>1777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2025-06-09T17:51:00Z</dcterms:created>
  <dc:creator>李倩</dc:creator>
  <cp:lastModifiedBy>张建民</cp:lastModifiedBy>
  <cp:lastPrinted>2025-06-09T13:51:00Z</cp:lastPrinted>
  <dcterms:modified xsi:type="dcterms:W3CDTF">2025-06-20T03:19:31Z</dcterms:modified>
  <dc:title>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5C2751FCBE3D0F106F574668315C8144</vt:lpwstr>
  </property>
  <property fmtid="{D5CDD505-2E9C-101B-9397-08002B2CF9AE}" pid="3" name="KSOProductBuildVer">
    <vt:lpwstr>2052-12.1.0.21541</vt:lpwstr>
  </property>
  <property fmtid="{D5CDD505-2E9C-101B-9397-08002B2CF9AE}" pid="4" name="KSOTemplateDocerSaveRecord">
    <vt:lpwstr>eyJoZGlkIjoiZTM0ZjQxZWNmMjAzYzZkN2Y2N2NkZTFjNWQzYjAyZTgiLCJ1c2VySWQiOiIxNjU2Mzg3OTg1In0=</vt:lpwstr>
  </property>
</Properties>
</file>